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F75C45"/>
    <w:tbl>
      <w:tblPr>
        <w:tblStyle w:val="3"/>
        <w:tblpPr w:leftFromText="180" w:rightFromText="180" w:vertAnchor="text" w:horzAnchor="page" w:tblpX="1064" w:tblpY="-654"/>
        <w:tblW w:w="4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8"/>
      </w:tblGrid>
      <w:tr w14:paraId="33EF2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4448" w:type="dxa"/>
            <w:tcBorders>
              <w:top w:val="nil"/>
              <w:left w:val="nil"/>
              <w:bottom w:val="nil"/>
              <w:right w:val="nil"/>
            </w:tcBorders>
          </w:tcPr>
          <w:p w14:paraId="0EF7F547">
            <w:pPr>
              <w:tabs>
                <w:tab w:val="left" w:pos="1425"/>
                <w:tab w:val="center" w:pos="2285"/>
              </w:tabs>
              <w:rPr>
                <w:sz w:val="20"/>
                <w:szCs w:val="20"/>
                <w:u w:val="single"/>
              </w:rPr>
            </w:pPr>
          </w:p>
          <w:p w14:paraId="2FA03005">
            <w:pPr>
              <w:tabs>
                <w:tab w:val="left" w:pos="1425"/>
                <w:tab w:val="center" w:pos="2285"/>
              </w:tabs>
              <w:spacing w:after="0"/>
              <w:rPr>
                <w:sz w:val="16"/>
                <w:szCs w:val="20"/>
              </w:rPr>
            </w:pPr>
            <w:r>
              <w:rPr>
                <w:sz w:val="18"/>
                <w:szCs w:val="20"/>
              </w:rPr>
              <w:tab/>
            </w:r>
            <w:r>
              <w:rPr>
                <w:sz w:val="18"/>
                <w:szCs w:val="20"/>
              </w:rPr>
              <w:drawing>
                <wp:inline distT="0" distB="0" distL="0" distR="0">
                  <wp:extent cx="556260" cy="413385"/>
                  <wp:effectExtent l="0" t="0" r="15240" b="5715"/>
                  <wp:docPr id="5" name="Рисунок 2" descr="шг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Рисунок 2" descr="шгш"/>
                          <pic:cNvPicPr>
                            <a:picLocks noChangeAspect="1" noChangeArrowheads="1"/>
                          </pic:cNvPicPr>
                        </pic:nvPicPr>
                        <pic:blipFill>
                          <a:blip r:embed="rId6" cstate="print"/>
                          <a:srcRect/>
                          <a:stretch>
                            <a:fillRect/>
                          </a:stretch>
                        </pic:blipFill>
                        <pic:spPr>
                          <a:xfrm>
                            <a:off x="0" y="0"/>
                            <a:ext cx="552206" cy="410210"/>
                          </a:xfrm>
                          <a:prstGeom prst="rect">
                            <a:avLst/>
                          </a:prstGeom>
                          <a:noFill/>
                          <a:ln w="9525">
                            <a:noFill/>
                            <a:miter lim="800000"/>
                            <a:headEnd/>
                            <a:tailEnd/>
                          </a:ln>
                        </pic:spPr>
                      </pic:pic>
                    </a:graphicData>
                  </a:graphic>
                </wp:inline>
              </w:drawing>
            </w:r>
          </w:p>
          <w:p w14:paraId="413E5044">
            <w:pPr>
              <w:spacing w:after="0"/>
              <w:jc w:val="center"/>
              <w:rPr>
                <w:b/>
                <w:sz w:val="2"/>
                <w:szCs w:val="16"/>
              </w:rPr>
            </w:pPr>
          </w:p>
          <w:p w14:paraId="726C58A8">
            <w:pPr>
              <w:spacing w:after="0"/>
              <w:jc w:val="center"/>
              <w:rPr>
                <w:rFonts w:ascii="Arial" w:hAnsi="Arial" w:cs="Arial"/>
                <w:b/>
                <w:spacing w:val="10"/>
                <w:sz w:val="14"/>
                <w:szCs w:val="14"/>
              </w:rPr>
            </w:pPr>
            <w:r>
              <w:rPr>
                <w:rFonts w:ascii="Arial" w:hAnsi="Arial" w:cs="Arial"/>
                <w:b/>
                <w:spacing w:val="10"/>
                <w:sz w:val="14"/>
                <w:szCs w:val="14"/>
              </w:rPr>
              <w:t>Министерство образования</w:t>
            </w:r>
          </w:p>
          <w:p w14:paraId="6912F250">
            <w:pPr>
              <w:spacing w:after="0"/>
              <w:jc w:val="center"/>
              <w:rPr>
                <w:rFonts w:ascii="Arial" w:hAnsi="Arial" w:cs="Arial"/>
                <w:b/>
                <w:spacing w:val="10"/>
                <w:sz w:val="14"/>
                <w:szCs w:val="14"/>
              </w:rPr>
            </w:pPr>
            <w:r>
              <w:rPr>
                <w:rFonts w:ascii="Arial" w:hAnsi="Arial" w:cs="Arial"/>
                <w:b/>
                <w:spacing w:val="10"/>
                <w:sz w:val="14"/>
                <w:szCs w:val="14"/>
              </w:rPr>
              <w:t>Саратовской области</w:t>
            </w:r>
          </w:p>
          <w:p w14:paraId="657856EB">
            <w:pPr>
              <w:spacing w:after="0"/>
              <w:jc w:val="center"/>
              <w:rPr>
                <w:rFonts w:ascii="Century Gothic" w:hAnsi="Century Gothic"/>
                <w:b/>
                <w:sz w:val="14"/>
                <w:szCs w:val="14"/>
              </w:rPr>
            </w:pPr>
            <w:r>
              <w:rPr>
                <w:rFonts w:ascii="Century Gothic" w:hAnsi="Century Gothic"/>
                <w:b/>
                <w:sz w:val="14"/>
                <w:szCs w:val="14"/>
              </w:rPr>
              <w:t xml:space="preserve">государственное автономное  </w:t>
            </w:r>
          </w:p>
          <w:p w14:paraId="690426DA">
            <w:pPr>
              <w:spacing w:after="0"/>
              <w:jc w:val="center"/>
              <w:rPr>
                <w:rFonts w:ascii="Century Gothic" w:hAnsi="Century Gothic"/>
                <w:b/>
                <w:sz w:val="14"/>
                <w:szCs w:val="14"/>
              </w:rPr>
            </w:pPr>
            <w:r>
              <w:rPr>
                <w:rFonts w:ascii="Century Gothic" w:hAnsi="Century Gothic"/>
                <w:b/>
                <w:sz w:val="14"/>
                <w:szCs w:val="14"/>
              </w:rPr>
              <w:t>профессиональное образовательное учреждение Саратовской области</w:t>
            </w:r>
          </w:p>
          <w:p w14:paraId="702FB3C8">
            <w:pPr>
              <w:spacing w:after="0"/>
              <w:jc w:val="center"/>
              <w:rPr>
                <w:rFonts w:ascii="Century Gothic" w:hAnsi="Century Gothic" w:cs="Arial"/>
                <w:b/>
                <w:sz w:val="14"/>
                <w:szCs w:val="14"/>
              </w:rPr>
            </w:pPr>
            <w:r>
              <w:rPr>
                <w:rFonts w:ascii="Century Gothic" w:hAnsi="Century Gothic" w:cs="Arial"/>
                <w:b/>
                <w:sz w:val="14"/>
                <w:szCs w:val="14"/>
              </w:rPr>
              <w:t>«Энгельсский механико-</w:t>
            </w:r>
          </w:p>
          <w:p w14:paraId="1A639016">
            <w:pPr>
              <w:spacing w:after="0"/>
              <w:jc w:val="center"/>
              <w:rPr>
                <w:rFonts w:ascii="Century Gothic" w:hAnsi="Century Gothic" w:cs="Arial"/>
                <w:b/>
                <w:caps/>
                <w:sz w:val="14"/>
                <w:szCs w:val="14"/>
              </w:rPr>
            </w:pPr>
            <w:r>
              <w:rPr>
                <w:rFonts w:ascii="Century Gothic" w:hAnsi="Century Gothic" w:cs="Arial"/>
                <w:b/>
                <w:sz w:val="14"/>
                <w:szCs w:val="14"/>
              </w:rPr>
              <w:t xml:space="preserve">технологический </w:t>
            </w:r>
            <w:r>
              <w:rPr>
                <w:rFonts w:ascii="Century Gothic" w:hAnsi="Century Gothic" w:cs="Arial"/>
                <w:b/>
                <w:sz w:val="14"/>
                <w:szCs w:val="14"/>
                <w:lang w:val="ru-RU"/>
              </w:rPr>
              <w:t>колледж</w:t>
            </w:r>
            <w:r>
              <w:rPr>
                <w:rFonts w:ascii="Century Gothic" w:hAnsi="Century Gothic" w:cs="Arial"/>
                <w:b/>
                <w:sz w:val="14"/>
                <w:szCs w:val="14"/>
              </w:rPr>
              <w:t>»</w:t>
            </w:r>
          </w:p>
          <w:p w14:paraId="6E792FF1">
            <w:pPr>
              <w:spacing w:after="0"/>
              <w:jc w:val="center"/>
              <w:rPr>
                <w:caps/>
                <w:sz w:val="14"/>
                <w:szCs w:val="14"/>
              </w:rPr>
            </w:pPr>
            <w:r>
              <w:rPr>
                <w:rFonts w:ascii="Century Gothic" w:hAnsi="Century Gothic" w:cs="Arial"/>
                <w:b/>
                <w:caps/>
                <w:spacing w:val="20"/>
                <w:sz w:val="14"/>
                <w:szCs w:val="14"/>
              </w:rPr>
              <w:t xml:space="preserve">(ГАПОУ СО </w:t>
            </w:r>
            <w:r>
              <w:rPr>
                <w:rFonts w:ascii="Century Gothic" w:hAnsi="Century Gothic" w:cs="Arial"/>
                <w:b/>
                <w:sz w:val="14"/>
                <w:szCs w:val="14"/>
              </w:rPr>
              <w:t>«ЭМТ</w:t>
            </w:r>
            <w:r>
              <w:rPr>
                <w:rFonts w:ascii="Century Gothic" w:hAnsi="Century Gothic" w:cs="Arial"/>
                <w:b/>
                <w:sz w:val="14"/>
                <w:szCs w:val="14"/>
                <w:lang w:val="ru-RU"/>
              </w:rPr>
              <w:t>К</w:t>
            </w:r>
            <w:r>
              <w:rPr>
                <w:rFonts w:ascii="Century Gothic" w:hAnsi="Century Gothic" w:cs="Arial"/>
                <w:b/>
                <w:sz w:val="14"/>
                <w:szCs w:val="14"/>
              </w:rPr>
              <w:t>»</w:t>
            </w:r>
            <w:r>
              <w:rPr>
                <w:rFonts w:ascii="Century Gothic" w:hAnsi="Century Gothic" w:cs="Arial"/>
                <w:b/>
                <w:caps/>
                <w:spacing w:val="20"/>
                <w:sz w:val="14"/>
                <w:szCs w:val="14"/>
              </w:rPr>
              <w:t>)</w:t>
            </w:r>
          </w:p>
          <w:p w14:paraId="245E0548">
            <w:pPr>
              <w:spacing w:after="0"/>
              <w:jc w:val="center"/>
              <w:rPr>
                <w:rFonts w:ascii="Calibri" w:hAnsi="Calibri"/>
                <w:b/>
                <w:sz w:val="14"/>
                <w:szCs w:val="14"/>
              </w:rPr>
            </w:pPr>
            <w:r>
              <w:rPr>
                <w:rFonts w:ascii="Calibri" w:hAnsi="Calibri"/>
                <w:b/>
                <w:caps/>
                <w:sz w:val="14"/>
                <w:szCs w:val="14"/>
              </w:rPr>
              <w:t xml:space="preserve">Россия, 413101, </w:t>
            </w:r>
            <w:r>
              <w:rPr>
                <w:rFonts w:ascii="Calibri" w:hAnsi="Calibri"/>
                <w:b/>
                <w:sz w:val="14"/>
                <w:szCs w:val="14"/>
              </w:rPr>
              <w:t xml:space="preserve">Саратовская  область, </w:t>
            </w:r>
          </w:p>
          <w:p w14:paraId="66A6EF46">
            <w:pPr>
              <w:spacing w:after="0"/>
              <w:jc w:val="center"/>
              <w:rPr>
                <w:rFonts w:ascii="Calibri" w:hAnsi="Calibri"/>
                <w:b/>
                <w:sz w:val="14"/>
                <w:szCs w:val="14"/>
              </w:rPr>
            </w:pPr>
            <w:r>
              <w:rPr>
                <w:rFonts w:ascii="Calibri" w:hAnsi="Calibri"/>
                <w:b/>
                <w:sz w:val="14"/>
                <w:szCs w:val="14"/>
              </w:rPr>
              <w:t>город Энгельс, улица Марины Расковой, д.8а</w:t>
            </w:r>
          </w:p>
          <w:p w14:paraId="7437470D">
            <w:pPr>
              <w:spacing w:after="0"/>
              <w:jc w:val="center"/>
              <w:rPr>
                <w:rFonts w:ascii="Calibri" w:hAnsi="Calibri"/>
                <w:b/>
                <w:sz w:val="14"/>
                <w:szCs w:val="14"/>
              </w:rPr>
            </w:pPr>
            <w:r>
              <w:rPr>
                <w:rFonts w:ascii="Calibri" w:hAnsi="Calibri"/>
                <w:b/>
                <w:sz w:val="14"/>
                <w:szCs w:val="14"/>
              </w:rPr>
              <w:t>ТЕЛ./ФАКС (8453) 74-46-09, 74-46-13</w:t>
            </w:r>
          </w:p>
          <w:p w14:paraId="48E2C041">
            <w:pPr>
              <w:spacing w:after="0"/>
              <w:jc w:val="center"/>
              <w:rPr>
                <w:rFonts w:ascii="Calibri" w:hAnsi="Calibri"/>
                <w:b/>
                <w:sz w:val="14"/>
                <w:szCs w:val="14"/>
              </w:rPr>
            </w:pPr>
            <w:r>
              <w:rPr>
                <w:rFonts w:ascii="Calibri" w:hAnsi="Calibri"/>
                <w:b/>
                <w:sz w:val="14"/>
                <w:szCs w:val="14"/>
                <w:lang w:val="en-US"/>
              </w:rPr>
              <w:t>E</w:t>
            </w:r>
            <w:r>
              <w:rPr>
                <w:rFonts w:ascii="Calibri" w:hAnsi="Calibri"/>
                <w:b/>
                <w:sz w:val="14"/>
                <w:szCs w:val="14"/>
              </w:rPr>
              <w:t>-</w:t>
            </w:r>
            <w:r>
              <w:rPr>
                <w:rFonts w:ascii="Calibri" w:hAnsi="Calibri"/>
                <w:b/>
                <w:sz w:val="14"/>
                <w:szCs w:val="14"/>
                <w:lang w:val="en-US"/>
              </w:rPr>
              <w:t>mail</w:t>
            </w:r>
            <w:r>
              <w:rPr>
                <w:rFonts w:ascii="Calibri" w:hAnsi="Calibri"/>
                <w:b/>
                <w:sz w:val="14"/>
                <w:szCs w:val="14"/>
              </w:rPr>
              <w:t xml:space="preserve">: </w:t>
            </w:r>
            <w:r>
              <w:rPr>
                <w:rFonts w:ascii="Calibri" w:hAnsi="Calibri"/>
                <w:b/>
                <w:sz w:val="14"/>
                <w:szCs w:val="14"/>
                <w:lang w:val="en-US"/>
              </w:rPr>
              <w:t>engmtt</w:t>
            </w:r>
            <w:r>
              <w:rPr>
                <w:rFonts w:ascii="Calibri" w:hAnsi="Calibri"/>
                <w:b/>
                <w:sz w:val="14"/>
                <w:szCs w:val="14"/>
              </w:rPr>
              <w:t>@</w:t>
            </w:r>
            <w:r>
              <w:rPr>
                <w:rFonts w:ascii="Calibri" w:hAnsi="Calibri"/>
                <w:b/>
                <w:sz w:val="14"/>
                <w:szCs w:val="14"/>
                <w:lang w:val="en-US"/>
              </w:rPr>
              <w:t>mail</w:t>
            </w:r>
            <w:r>
              <w:rPr>
                <w:rFonts w:ascii="Calibri" w:hAnsi="Calibri"/>
                <w:b/>
                <w:sz w:val="14"/>
                <w:szCs w:val="14"/>
              </w:rPr>
              <w:t>.</w:t>
            </w:r>
            <w:r>
              <w:rPr>
                <w:rFonts w:ascii="Calibri" w:hAnsi="Calibri"/>
                <w:b/>
                <w:sz w:val="14"/>
                <w:szCs w:val="14"/>
                <w:lang w:val="en-US"/>
              </w:rPr>
              <w:t>ru</w:t>
            </w:r>
          </w:p>
          <w:tbl>
            <w:tblPr>
              <w:tblStyle w:val="3"/>
              <w:tblW w:w="0" w:type="auto"/>
              <w:jc w:val="center"/>
              <w:tblLayout w:type="fixed"/>
              <w:tblCellMar>
                <w:top w:w="0" w:type="dxa"/>
                <w:left w:w="108" w:type="dxa"/>
                <w:bottom w:w="0" w:type="dxa"/>
                <w:right w:w="108" w:type="dxa"/>
              </w:tblCellMar>
            </w:tblPr>
            <w:tblGrid>
              <w:gridCol w:w="728"/>
              <w:gridCol w:w="866"/>
              <w:gridCol w:w="728"/>
              <w:gridCol w:w="1489"/>
            </w:tblGrid>
            <w:tr w14:paraId="65D7404E">
              <w:tblPrEx>
                <w:tblCellMar>
                  <w:top w:w="0" w:type="dxa"/>
                  <w:left w:w="108" w:type="dxa"/>
                  <w:bottom w:w="0" w:type="dxa"/>
                  <w:right w:w="108" w:type="dxa"/>
                </w:tblCellMar>
              </w:tblPrEx>
              <w:trPr>
                <w:trHeight w:val="42" w:hRule="atLeast"/>
                <w:jc w:val="center"/>
              </w:trPr>
              <w:tc>
                <w:tcPr>
                  <w:tcW w:w="1594" w:type="dxa"/>
                  <w:gridSpan w:val="2"/>
                  <w:tcBorders>
                    <w:top w:val="nil"/>
                    <w:left w:val="nil"/>
                    <w:bottom w:val="single" w:color="auto" w:sz="6" w:space="0"/>
                    <w:right w:val="nil"/>
                  </w:tcBorders>
                  <w:shd w:val="clear" w:color="auto" w:fill="BEFEBE"/>
                  <w:vAlign w:val="bottom"/>
                </w:tcPr>
                <w:p w14:paraId="15A7C91F">
                  <w:pPr>
                    <w:spacing w:after="0"/>
                    <w:jc w:val="center"/>
                    <w:rPr>
                      <w:rFonts w:ascii="Book Antiqua" w:hAnsi="Book Antiqua"/>
                      <w:b/>
                      <w:i/>
                      <w:sz w:val="14"/>
                      <w:szCs w:val="14"/>
                    </w:rPr>
                  </w:pPr>
                </w:p>
              </w:tc>
              <w:tc>
                <w:tcPr>
                  <w:tcW w:w="728" w:type="dxa"/>
                  <w:shd w:val="clear" w:color="auto" w:fill="BEFEBE"/>
                  <w:vAlign w:val="bottom"/>
                </w:tcPr>
                <w:p w14:paraId="71A71189">
                  <w:pPr>
                    <w:spacing w:after="0"/>
                    <w:jc w:val="center"/>
                    <w:rPr>
                      <w:rFonts w:ascii="Book Antiqua" w:hAnsi="Book Antiqua"/>
                      <w:b/>
                      <w:i/>
                      <w:sz w:val="14"/>
                      <w:szCs w:val="14"/>
                    </w:rPr>
                  </w:pPr>
                  <w:r>
                    <w:rPr>
                      <w:rFonts w:ascii="Book Antiqua" w:hAnsi="Book Antiqua"/>
                      <w:b/>
                      <w:i/>
                      <w:sz w:val="14"/>
                      <w:szCs w:val="14"/>
                    </w:rPr>
                    <w:t>№</w:t>
                  </w:r>
                </w:p>
              </w:tc>
              <w:tc>
                <w:tcPr>
                  <w:tcW w:w="1489" w:type="dxa"/>
                  <w:tcBorders>
                    <w:top w:val="nil"/>
                    <w:left w:val="nil"/>
                    <w:bottom w:val="single" w:color="auto" w:sz="6" w:space="0"/>
                    <w:right w:val="nil"/>
                  </w:tcBorders>
                  <w:shd w:val="clear" w:color="auto" w:fill="BEFEBE"/>
                  <w:vAlign w:val="bottom"/>
                </w:tcPr>
                <w:p w14:paraId="44131996">
                  <w:pPr>
                    <w:spacing w:after="0"/>
                    <w:jc w:val="center"/>
                    <w:rPr>
                      <w:rFonts w:ascii="Book Antiqua" w:hAnsi="Book Antiqua"/>
                      <w:b/>
                      <w:i/>
                      <w:sz w:val="14"/>
                      <w:szCs w:val="14"/>
                      <w:lang w:val="en-US"/>
                    </w:rPr>
                  </w:pPr>
                </w:p>
              </w:tc>
            </w:tr>
            <w:tr w14:paraId="1BD0B0FE">
              <w:tblPrEx>
                <w:tblCellMar>
                  <w:top w:w="0" w:type="dxa"/>
                  <w:left w:w="108" w:type="dxa"/>
                  <w:bottom w:w="0" w:type="dxa"/>
                  <w:right w:w="108" w:type="dxa"/>
                </w:tblCellMar>
              </w:tblPrEx>
              <w:trPr>
                <w:trHeight w:val="46" w:hRule="atLeast"/>
                <w:jc w:val="center"/>
              </w:trPr>
              <w:tc>
                <w:tcPr>
                  <w:tcW w:w="728" w:type="dxa"/>
                  <w:tcBorders>
                    <w:top w:val="single" w:color="auto" w:sz="6" w:space="0"/>
                    <w:left w:val="nil"/>
                    <w:bottom w:val="nil"/>
                    <w:right w:val="nil"/>
                  </w:tcBorders>
                  <w:vAlign w:val="bottom"/>
                </w:tcPr>
                <w:p w14:paraId="55AA2639">
                  <w:pPr>
                    <w:spacing w:after="0"/>
                    <w:jc w:val="center"/>
                    <w:rPr>
                      <w:rFonts w:ascii="Book Antiqua" w:hAnsi="Book Antiqua"/>
                      <w:b/>
                      <w:i/>
                      <w:sz w:val="14"/>
                      <w:szCs w:val="14"/>
                    </w:rPr>
                  </w:pPr>
                  <w:r>
                    <w:rPr>
                      <w:rFonts w:ascii="Book Antiqua" w:hAnsi="Book Antiqua"/>
                      <w:b/>
                      <w:i/>
                      <w:sz w:val="14"/>
                      <w:szCs w:val="14"/>
                    </w:rPr>
                    <w:t>На №</w:t>
                  </w:r>
                </w:p>
              </w:tc>
              <w:tc>
                <w:tcPr>
                  <w:tcW w:w="866" w:type="dxa"/>
                  <w:tcBorders>
                    <w:top w:val="single" w:color="auto" w:sz="6" w:space="0"/>
                    <w:left w:val="nil"/>
                    <w:bottom w:val="single" w:color="auto" w:sz="6" w:space="0"/>
                    <w:right w:val="nil"/>
                  </w:tcBorders>
                  <w:vAlign w:val="bottom"/>
                </w:tcPr>
                <w:p w14:paraId="6CF2E9B8">
                  <w:pPr>
                    <w:spacing w:after="0"/>
                    <w:rPr>
                      <w:rFonts w:ascii="Book Antiqua" w:hAnsi="Book Antiqua"/>
                      <w:b/>
                      <w:i/>
                      <w:sz w:val="14"/>
                      <w:szCs w:val="14"/>
                    </w:rPr>
                  </w:pPr>
                </w:p>
              </w:tc>
              <w:tc>
                <w:tcPr>
                  <w:tcW w:w="728" w:type="dxa"/>
                  <w:vAlign w:val="bottom"/>
                </w:tcPr>
                <w:p w14:paraId="10511B6A">
                  <w:pPr>
                    <w:spacing w:after="0"/>
                    <w:jc w:val="center"/>
                    <w:rPr>
                      <w:rFonts w:ascii="Book Antiqua" w:hAnsi="Book Antiqua"/>
                      <w:b/>
                      <w:i/>
                      <w:sz w:val="14"/>
                      <w:szCs w:val="14"/>
                    </w:rPr>
                  </w:pPr>
                  <w:r>
                    <w:rPr>
                      <w:rFonts w:ascii="Book Antiqua" w:hAnsi="Book Antiqua"/>
                      <w:b/>
                      <w:i/>
                      <w:sz w:val="14"/>
                      <w:szCs w:val="14"/>
                    </w:rPr>
                    <w:t>от</w:t>
                  </w:r>
                </w:p>
              </w:tc>
              <w:tc>
                <w:tcPr>
                  <w:tcW w:w="1489" w:type="dxa"/>
                  <w:tcBorders>
                    <w:top w:val="single" w:color="auto" w:sz="6" w:space="0"/>
                    <w:left w:val="nil"/>
                    <w:bottom w:val="single" w:color="auto" w:sz="6" w:space="0"/>
                    <w:right w:val="nil"/>
                  </w:tcBorders>
                  <w:vAlign w:val="bottom"/>
                </w:tcPr>
                <w:p w14:paraId="6A8638C2">
                  <w:pPr>
                    <w:spacing w:after="0"/>
                    <w:jc w:val="center"/>
                    <w:rPr>
                      <w:rFonts w:ascii="Book Antiqua" w:hAnsi="Book Antiqua"/>
                      <w:b/>
                      <w:i/>
                      <w:sz w:val="14"/>
                      <w:szCs w:val="14"/>
                    </w:rPr>
                  </w:pPr>
                </w:p>
              </w:tc>
            </w:tr>
            <w:tr w14:paraId="4EE1780B">
              <w:tblPrEx>
                <w:tblCellMar>
                  <w:top w:w="0" w:type="dxa"/>
                  <w:left w:w="108" w:type="dxa"/>
                  <w:bottom w:w="0" w:type="dxa"/>
                  <w:right w:w="108" w:type="dxa"/>
                </w:tblCellMar>
              </w:tblPrEx>
              <w:trPr>
                <w:trHeight w:val="61" w:hRule="atLeast"/>
                <w:jc w:val="center"/>
              </w:trPr>
              <w:tc>
                <w:tcPr>
                  <w:tcW w:w="3811" w:type="dxa"/>
                  <w:gridSpan w:val="4"/>
                  <w:vAlign w:val="bottom"/>
                </w:tcPr>
                <w:p w14:paraId="78BA2B92">
                  <w:pPr>
                    <w:jc w:val="center"/>
                    <w:rPr>
                      <w:rFonts w:ascii="Book Antiqua" w:hAnsi="Book Antiqua"/>
                      <w:b/>
                      <w:i/>
                    </w:rPr>
                  </w:pPr>
                </w:p>
              </w:tc>
            </w:tr>
          </w:tbl>
          <w:p w14:paraId="6BE51715">
            <w:pPr>
              <w:rPr>
                <w:b/>
                <w:sz w:val="28"/>
                <w:szCs w:val="28"/>
              </w:rPr>
            </w:pPr>
          </w:p>
        </w:tc>
      </w:tr>
    </w:tbl>
    <w:p w14:paraId="0629784D">
      <w:pPr>
        <w:spacing w:after="0" w:line="240" w:lineRule="auto"/>
        <w:ind w:right="140"/>
        <w:jc w:val="right"/>
        <w:rPr>
          <w:rFonts w:hint="default" w:ascii="Times New Roman" w:hAnsi="Times New Roman"/>
          <w:sz w:val="28"/>
          <w:szCs w:val="28"/>
          <w:lang w:val="ru-RU"/>
        </w:rPr>
      </w:pPr>
      <w:r>
        <w:rPr>
          <w:rFonts w:ascii="Times New Roman" w:hAnsi="Times New Roman"/>
          <w:sz w:val="28"/>
          <w:szCs w:val="28"/>
          <w:lang w:val="ru-RU"/>
        </w:rPr>
        <w:t>Саратовская</w:t>
      </w:r>
      <w:r>
        <w:rPr>
          <w:rFonts w:hint="default" w:ascii="Times New Roman" w:hAnsi="Times New Roman"/>
          <w:sz w:val="28"/>
          <w:szCs w:val="28"/>
          <w:lang w:val="ru-RU"/>
        </w:rPr>
        <w:t xml:space="preserve"> область г. Энгельс ул. Л. Кассиля д. 16 кв. 203</w:t>
      </w:r>
    </w:p>
    <w:p w14:paraId="32523A6D">
      <w:pPr>
        <w:jc w:val="right"/>
      </w:pPr>
    </w:p>
    <w:p w14:paraId="7CC90943">
      <w:pPr>
        <w:jc w:val="right"/>
      </w:pPr>
      <w:r>
        <w:rPr>
          <w:rFonts w:ascii="Times New Roman" w:hAnsi="Times New Roman"/>
          <w:sz w:val="28"/>
          <w:szCs w:val="28"/>
          <w:lang w:val="ru-RU"/>
        </w:rPr>
        <w:t>Глуховой</w:t>
      </w:r>
      <w:r>
        <w:rPr>
          <w:rFonts w:hint="default" w:ascii="Times New Roman" w:hAnsi="Times New Roman"/>
          <w:sz w:val="28"/>
          <w:szCs w:val="28"/>
          <w:lang w:val="ru-RU"/>
        </w:rPr>
        <w:t xml:space="preserve"> Алёне Алексеевне</w:t>
      </w:r>
    </w:p>
    <w:p w14:paraId="731A0BEA"/>
    <w:p w14:paraId="5ED8BEB9"/>
    <w:p w14:paraId="5B236486"/>
    <w:p w14:paraId="7CD81FF5"/>
    <w:p w14:paraId="4FF6B819"/>
    <w:p w14:paraId="5140FD1C"/>
    <w:p w14:paraId="300B39A3"/>
    <w:p w14:paraId="599BF93F">
      <w:pPr>
        <w:ind w:firstLine="708" w:firstLineChars="0"/>
        <w:jc w:val="both"/>
        <w:rPr>
          <w:rFonts w:hint="default" w:ascii="Times New Roman" w:hAnsi="Times New Roman"/>
          <w:sz w:val="28"/>
          <w:szCs w:val="28"/>
          <w:lang w:val="ru-RU"/>
        </w:rPr>
      </w:pPr>
      <w:r>
        <w:rPr>
          <w:rFonts w:ascii="Times New Roman" w:hAnsi="Times New Roman"/>
          <w:sz w:val="28"/>
          <w:szCs w:val="28"/>
        </w:rPr>
        <w:t xml:space="preserve">Администрация ГАПОУ СО «Энгельсский механико - технологический </w:t>
      </w:r>
      <w:r>
        <w:rPr>
          <w:rFonts w:ascii="Times New Roman" w:hAnsi="Times New Roman"/>
          <w:sz w:val="28"/>
          <w:szCs w:val="28"/>
          <w:lang w:val="ru-RU"/>
        </w:rPr>
        <w:t>колледж</w:t>
      </w:r>
      <w:r>
        <w:rPr>
          <w:rFonts w:ascii="Times New Roman" w:hAnsi="Times New Roman"/>
          <w:sz w:val="28"/>
          <w:szCs w:val="28"/>
        </w:rPr>
        <w:t xml:space="preserve">» расположенный по адресу: Саратовская область, г.Энгельс, ул. Марины Расковой, д. 8А, </w:t>
      </w:r>
      <w:r>
        <w:rPr>
          <w:rFonts w:ascii="Times New Roman" w:hAnsi="Times New Roman"/>
          <w:sz w:val="28"/>
          <w:szCs w:val="28"/>
          <w:lang w:val="ru-RU"/>
        </w:rPr>
        <w:t>приглашает</w:t>
      </w:r>
      <w:r>
        <w:rPr>
          <w:rFonts w:ascii="Times New Roman" w:hAnsi="Times New Roman"/>
          <w:sz w:val="28"/>
          <w:szCs w:val="28"/>
        </w:rPr>
        <w:t xml:space="preserve"> Ва</w:t>
      </w:r>
      <w:r>
        <w:rPr>
          <w:rFonts w:ascii="Times New Roman" w:hAnsi="Times New Roman"/>
          <w:sz w:val="28"/>
          <w:szCs w:val="28"/>
          <w:lang w:val="ru-RU"/>
        </w:rPr>
        <w:t>с</w:t>
      </w:r>
      <w:r>
        <w:rPr>
          <w:rFonts w:hint="default" w:ascii="Times New Roman" w:hAnsi="Times New Roman"/>
          <w:sz w:val="28"/>
          <w:szCs w:val="28"/>
          <w:lang w:val="ru-RU"/>
        </w:rPr>
        <w:t xml:space="preserve"> в учебную часть для окончательного решения вопроса о зачислении на первый курс, в срок до 30.10.2025 года.</w:t>
      </w:r>
    </w:p>
    <w:p w14:paraId="0F7BAB5F">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 xml:space="preserve"> Для этого Вам необходимо иметь при себе недостающие документы.</w:t>
      </w:r>
    </w:p>
    <w:p w14:paraId="55823BE5">
      <w:pPr>
        <w:ind w:firstLine="708" w:firstLineChars="0"/>
        <w:jc w:val="both"/>
        <w:rPr>
          <w:rFonts w:hint="default" w:ascii="Times New Roman" w:hAnsi="Times New Roman"/>
          <w:sz w:val="28"/>
          <w:szCs w:val="28"/>
          <w:lang w:val="ru-RU"/>
        </w:rPr>
      </w:pPr>
    </w:p>
    <w:p w14:paraId="086F90AD">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 xml:space="preserve">Директор ГАПОУ СО «ЭМТК» </w:t>
      </w:r>
      <w:r>
        <w:rPr>
          <w:rFonts w:hint="default" w:ascii="Times New Roman" w:hAnsi="Times New Roman"/>
          <w:sz w:val="28"/>
          <w:szCs w:val="28"/>
          <w:lang w:val="ru-RU"/>
        </w:rPr>
        <w:tab/>
      </w:r>
      <w:r>
        <w:rPr>
          <w:rFonts w:hint="default" w:ascii="Times New Roman" w:hAnsi="Times New Roman"/>
          <w:sz w:val="28"/>
          <w:szCs w:val="28"/>
          <w:lang w:val="ru-RU"/>
        </w:rPr>
        <w:tab/>
      </w:r>
      <w:r>
        <w:rPr>
          <w:rFonts w:hint="default" w:ascii="Times New Roman" w:hAnsi="Times New Roman"/>
          <w:sz w:val="28"/>
          <w:szCs w:val="28"/>
          <w:lang w:val="ru-RU"/>
        </w:rPr>
        <w:tab/>
      </w:r>
      <w:r>
        <w:rPr>
          <w:rFonts w:hint="default" w:ascii="Times New Roman" w:hAnsi="Times New Roman"/>
          <w:sz w:val="28"/>
          <w:szCs w:val="28"/>
          <w:lang w:val="ru-RU"/>
        </w:rPr>
        <w:t>О.И. Абрамов</w:t>
      </w:r>
    </w:p>
    <w:p w14:paraId="084E468A">
      <w:pPr>
        <w:rPr>
          <w:rFonts w:hint="default" w:ascii="Times New Roman" w:hAnsi="Times New Roman"/>
          <w:sz w:val="28"/>
          <w:szCs w:val="28"/>
          <w:lang w:val="ru-RU"/>
        </w:rPr>
      </w:pPr>
      <w:r>
        <w:rPr>
          <w:rFonts w:hint="default" w:ascii="Times New Roman" w:hAnsi="Times New Roman"/>
          <w:sz w:val="28"/>
          <w:szCs w:val="28"/>
          <w:lang w:val="ru-RU"/>
        </w:rPr>
        <w:br w:type="page"/>
      </w:r>
    </w:p>
    <w:p w14:paraId="264CF40D"/>
    <w:tbl>
      <w:tblPr>
        <w:tblStyle w:val="3"/>
        <w:tblpPr w:leftFromText="180" w:rightFromText="180" w:vertAnchor="text" w:horzAnchor="page" w:tblpX="1064" w:tblpY="-654"/>
        <w:tblW w:w="44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48"/>
      </w:tblGrid>
      <w:tr w14:paraId="1A8841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2" w:hRule="atLeast"/>
        </w:trPr>
        <w:tc>
          <w:tcPr>
            <w:tcW w:w="4448" w:type="dxa"/>
            <w:tcBorders>
              <w:top w:val="nil"/>
              <w:left w:val="nil"/>
              <w:bottom w:val="nil"/>
              <w:right w:val="nil"/>
            </w:tcBorders>
          </w:tcPr>
          <w:p w14:paraId="571A4FE0">
            <w:pPr>
              <w:tabs>
                <w:tab w:val="left" w:pos="1425"/>
                <w:tab w:val="center" w:pos="2285"/>
              </w:tabs>
              <w:rPr>
                <w:sz w:val="20"/>
                <w:szCs w:val="20"/>
                <w:u w:val="single"/>
              </w:rPr>
            </w:pPr>
          </w:p>
          <w:p w14:paraId="5C168C50">
            <w:pPr>
              <w:tabs>
                <w:tab w:val="left" w:pos="1425"/>
                <w:tab w:val="center" w:pos="2285"/>
              </w:tabs>
              <w:spacing w:after="0"/>
              <w:rPr>
                <w:sz w:val="16"/>
                <w:szCs w:val="20"/>
              </w:rPr>
            </w:pPr>
            <w:r>
              <w:rPr>
                <w:sz w:val="18"/>
                <w:szCs w:val="20"/>
              </w:rPr>
              <w:tab/>
            </w:r>
            <w:r>
              <w:rPr>
                <w:sz w:val="18"/>
                <w:szCs w:val="20"/>
              </w:rPr>
              <w:drawing>
                <wp:inline distT="0" distB="0" distL="0" distR="0">
                  <wp:extent cx="556260" cy="413385"/>
                  <wp:effectExtent l="0" t="0" r="15240" b="5715"/>
                  <wp:docPr id="1" name="Рисунок 2" descr="шг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2" descr="шгш"/>
                          <pic:cNvPicPr>
                            <a:picLocks noChangeAspect="1" noChangeArrowheads="1"/>
                          </pic:cNvPicPr>
                        </pic:nvPicPr>
                        <pic:blipFill>
                          <a:blip r:embed="rId6" cstate="print"/>
                          <a:srcRect/>
                          <a:stretch>
                            <a:fillRect/>
                          </a:stretch>
                        </pic:blipFill>
                        <pic:spPr>
                          <a:xfrm>
                            <a:off x="0" y="0"/>
                            <a:ext cx="552206" cy="410210"/>
                          </a:xfrm>
                          <a:prstGeom prst="rect">
                            <a:avLst/>
                          </a:prstGeom>
                          <a:noFill/>
                          <a:ln w="9525">
                            <a:noFill/>
                            <a:miter lim="800000"/>
                            <a:headEnd/>
                            <a:tailEnd/>
                          </a:ln>
                        </pic:spPr>
                      </pic:pic>
                    </a:graphicData>
                  </a:graphic>
                </wp:inline>
              </w:drawing>
            </w:r>
          </w:p>
          <w:p w14:paraId="2A52AE0E">
            <w:pPr>
              <w:spacing w:after="0"/>
              <w:jc w:val="center"/>
              <w:rPr>
                <w:b/>
                <w:sz w:val="2"/>
                <w:szCs w:val="16"/>
              </w:rPr>
            </w:pPr>
          </w:p>
          <w:p w14:paraId="22C0C05B">
            <w:pPr>
              <w:spacing w:after="0"/>
              <w:jc w:val="center"/>
              <w:rPr>
                <w:rFonts w:ascii="Arial" w:hAnsi="Arial" w:cs="Arial"/>
                <w:b/>
                <w:spacing w:val="10"/>
                <w:sz w:val="14"/>
                <w:szCs w:val="14"/>
              </w:rPr>
            </w:pPr>
            <w:r>
              <w:rPr>
                <w:rFonts w:ascii="Arial" w:hAnsi="Arial" w:cs="Arial"/>
                <w:b/>
                <w:spacing w:val="10"/>
                <w:sz w:val="14"/>
                <w:szCs w:val="14"/>
              </w:rPr>
              <w:t>Министерство образования</w:t>
            </w:r>
          </w:p>
          <w:p w14:paraId="3C6F9446">
            <w:pPr>
              <w:spacing w:after="0"/>
              <w:jc w:val="center"/>
              <w:rPr>
                <w:rFonts w:ascii="Arial" w:hAnsi="Arial" w:cs="Arial"/>
                <w:b/>
                <w:spacing w:val="10"/>
                <w:sz w:val="14"/>
                <w:szCs w:val="14"/>
              </w:rPr>
            </w:pPr>
            <w:r>
              <w:rPr>
                <w:rFonts w:ascii="Arial" w:hAnsi="Arial" w:cs="Arial"/>
                <w:b/>
                <w:spacing w:val="10"/>
                <w:sz w:val="14"/>
                <w:szCs w:val="14"/>
              </w:rPr>
              <w:t>Саратовской области</w:t>
            </w:r>
          </w:p>
          <w:p w14:paraId="44A31751">
            <w:pPr>
              <w:spacing w:after="0"/>
              <w:jc w:val="center"/>
              <w:rPr>
                <w:rFonts w:ascii="Century Gothic" w:hAnsi="Century Gothic"/>
                <w:b/>
                <w:sz w:val="14"/>
                <w:szCs w:val="14"/>
              </w:rPr>
            </w:pPr>
            <w:r>
              <w:rPr>
                <w:rFonts w:ascii="Century Gothic" w:hAnsi="Century Gothic"/>
                <w:b/>
                <w:sz w:val="14"/>
                <w:szCs w:val="14"/>
              </w:rPr>
              <w:t xml:space="preserve">государственное автономное  </w:t>
            </w:r>
          </w:p>
          <w:p w14:paraId="27386EE8">
            <w:pPr>
              <w:spacing w:after="0"/>
              <w:jc w:val="center"/>
              <w:rPr>
                <w:rFonts w:ascii="Century Gothic" w:hAnsi="Century Gothic"/>
                <w:b/>
                <w:sz w:val="14"/>
                <w:szCs w:val="14"/>
              </w:rPr>
            </w:pPr>
            <w:r>
              <w:rPr>
                <w:rFonts w:ascii="Century Gothic" w:hAnsi="Century Gothic"/>
                <w:b/>
                <w:sz w:val="14"/>
                <w:szCs w:val="14"/>
              </w:rPr>
              <w:t>профессиональное образовательное учреждение Саратовской области</w:t>
            </w:r>
          </w:p>
          <w:p w14:paraId="1E6BEB98">
            <w:pPr>
              <w:spacing w:after="0"/>
              <w:jc w:val="center"/>
              <w:rPr>
                <w:rFonts w:ascii="Century Gothic" w:hAnsi="Century Gothic" w:cs="Arial"/>
                <w:b/>
                <w:sz w:val="14"/>
                <w:szCs w:val="14"/>
              </w:rPr>
            </w:pPr>
            <w:r>
              <w:rPr>
                <w:rFonts w:ascii="Century Gothic" w:hAnsi="Century Gothic" w:cs="Arial"/>
                <w:b/>
                <w:sz w:val="14"/>
                <w:szCs w:val="14"/>
              </w:rPr>
              <w:t>«Энгельсский механико-</w:t>
            </w:r>
          </w:p>
          <w:p w14:paraId="18586DC8">
            <w:pPr>
              <w:spacing w:after="0"/>
              <w:jc w:val="center"/>
              <w:rPr>
                <w:rFonts w:ascii="Century Gothic" w:hAnsi="Century Gothic" w:cs="Arial"/>
                <w:b/>
                <w:caps/>
                <w:sz w:val="14"/>
                <w:szCs w:val="14"/>
              </w:rPr>
            </w:pPr>
            <w:r>
              <w:rPr>
                <w:rFonts w:ascii="Century Gothic" w:hAnsi="Century Gothic" w:cs="Arial"/>
                <w:b/>
                <w:sz w:val="14"/>
                <w:szCs w:val="14"/>
              </w:rPr>
              <w:t xml:space="preserve">технологический </w:t>
            </w:r>
            <w:r>
              <w:rPr>
                <w:rFonts w:ascii="Century Gothic" w:hAnsi="Century Gothic" w:cs="Arial"/>
                <w:b/>
                <w:sz w:val="14"/>
                <w:szCs w:val="14"/>
                <w:lang w:val="ru-RU"/>
              </w:rPr>
              <w:t>колледж</w:t>
            </w:r>
            <w:r>
              <w:rPr>
                <w:rFonts w:ascii="Century Gothic" w:hAnsi="Century Gothic" w:cs="Arial"/>
                <w:b/>
                <w:sz w:val="14"/>
                <w:szCs w:val="14"/>
              </w:rPr>
              <w:t>»</w:t>
            </w:r>
          </w:p>
          <w:p w14:paraId="13A51FD7">
            <w:pPr>
              <w:spacing w:after="0"/>
              <w:jc w:val="center"/>
              <w:rPr>
                <w:caps/>
                <w:sz w:val="14"/>
                <w:szCs w:val="14"/>
              </w:rPr>
            </w:pPr>
            <w:r>
              <w:rPr>
                <w:rFonts w:ascii="Century Gothic" w:hAnsi="Century Gothic" w:cs="Arial"/>
                <w:b/>
                <w:caps/>
                <w:spacing w:val="20"/>
                <w:sz w:val="14"/>
                <w:szCs w:val="14"/>
              </w:rPr>
              <w:t xml:space="preserve">(ГАПОУ СО </w:t>
            </w:r>
            <w:r>
              <w:rPr>
                <w:rFonts w:ascii="Century Gothic" w:hAnsi="Century Gothic" w:cs="Arial"/>
                <w:b/>
                <w:sz w:val="14"/>
                <w:szCs w:val="14"/>
              </w:rPr>
              <w:t>«ЭМТ</w:t>
            </w:r>
            <w:r>
              <w:rPr>
                <w:rFonts w:ascii="Century Gothic" w:hAnsi="Century Gothic" w:cs="Arial"/>
                <w:b/>
                <w:sz w:val="14"/>
                <w:szCs w:val="14"/>
                <w:lang w:val="ru-RU"/>
              </w:rPr>
              <w:t>К</w:t>
            </w:r>
            <w:r>
              <w:rPr>
                <w:rFonts w:ascii="Century Gothic" w:hAnsi="Century Gothic" w:cs="Arial"/>
                <w:b/>
                <w:sz w:val="14"/>
                <w:szCs w:val="14"/>
              </w:rPr>
              <w:t>»</w:t>
            </w:r>
            <w:r>
              <w:rPr>
                <w:rFonts w:ascii="Century Gothic" w:hAnsi="Century Gothic" w:cs="Arial"/>
                <w:b/>
                <w:caps/>
                <w:spacing w:val="20"/>
                <w:sz w:val="14"/>
                <w:szCs w:val="14"/>
              </w:rPr>
              <w:t>)</w:t>
            </w:r>
          </w:p>
          <w:p w14:paraId="35F104B6">
            <w:pPr>
              <w:spacing w:after="0"/>
              <w:jc w:val="center"/>
              <w:rPr>
                <w:rFonts w:ascii="Calibri" w:hAnsi="Calibri"/>
                <w:b/>
                <w:sz w:val="14"/>
                <w:szCs w:val="14"/>
              </w:rPr>
            </w:pPr>
            <w:r>
              <w:rPr>
                <w:rFonts w:ascii="Calibri" w:hAnsi="Calibri"/>
                <w:b/>
                <w:caps/>
                <w:sz w:val="14"/>
                <w:szCs w:val="14"/>
              </w:rPr>
              <w:t xml:space="preserve">Россия, 413101, </w:t>
            </w:r>
            <w:r>
              <w:rPr>
                <w:rFonts w:ascii="Calibri" w:hAnsi="Calibri"/>
                <w:b/>
                <w:sz w:val="14"/>
                <w:szCs w:val="14"/>
              </w:rPr>
              <w:t xml:space="preserve">Саратовская  область, </w:t>
            </w:r>
          </w:p>
          <w:p w14:paraId="6CEF6A9A">
            <w:pPr>
              <w:spacing w:after="0"/>
              <w:jc w:val="center"/>
              <w:rPr>
                <w:rFonts w:ascii="Calibri" w:hAnsi="Calibri"/>
                <w:b/>
                <w:sz w:val="14"/>
                <w:szCs w:val="14"/>
              </w:rPr>
            </w:pPr>
            <w:r>
              <w:rPr>
                <w:rFonts w:ascii="Calibri" w:hAnsi="Calibri"/>
                <w:b/>
                <w:sz w:val="14"/>
                <w:szCs w:val="14"/>
              </w:rPr>
              <w:t>город Энгельс, улица Марины Расковой, д.8а</w:t>
            </w:r>
          </w:p>
          <w:p w14:paraId="550E0083">
            <w:pPr>
              <w:spacing w:after="0"/>
              <w:jc w:val="center"/>
              <w:rPr>
                <w:rFonts w:ascii="Calibri" w:hAnsi="Calibri"/>
                <w:b/>
                <w:sz w:val="14"/>
                <w:szCs w:val="14"/>
              </w:rPr>
            </w:pPr>
            <w:r>
              <w:rPr>
                <w:rFonts w:ascii="Calibri" w:hAnsi="Calibri"/>
                <w:b/>
                <w:sz w:val="14"/>
                <w:szCs w:val="14"/>
              </w:rPr>
              <w:t>ТЕЛ./ФАКС (8453) 74-46-09, 74-46-13</w:t>
            </w:r>
          </w:p>
          <w:p w14:paraId="56FF2C3B">
            <w:pPr>
              <w:spacing w:after="0"/>
              <w:jc w:val="center"/>
              <w:rPr>
                <w:rFonts w:ascii="Calibri" w:hAnsi="Calibri"/>
                <w:b/>
                <w:sz w:val="14"/>
                <w:szCs w:val="14"/>
              </w:rPr>
            </w:pPr>
            <w:r>
              <w:rPr>
                <w:rFonts w:ascii="Calibri" w:hAnsi="Calibri"/>
                <w:b/>
                <w:sz w:val="14"/>
                <w:szCs w:val="14"/>
                <w:lang w:val="en-US"/>
              </w:rPr>
              <w:t>E</w:t>
            </w:r>
            <w:r>
              <w:rPr>
                <w:rFonts w:ascii="Calibri" w:hAnsi="Calibri"/>
                <w:b/>
                <w:sz w:val="14"/>
                <w:szCs w:val="14"/>
              </w:rPr>
              <w:t>-</w:t>
            </w:r>
            <w:r>
              <w:rPr>
                <w:rFonts w:ascii="Calibri" w:hAnsi="Calibri"/>
                <w:b/>
                <w:sz w:val="14"/>
                <w:szCs w:val="14"/>
                <w:lang w:val="en-US"/>
              </w:rPr>
              <w:t>mail</w:t>
            </w:r>
            <w:r>
              <w:rPr>
                <w:rFonts w:ascii="Calibri" w:hAnsi="Calibri"/>
                <w:b/>
                <w:sz w:val="14"/>
                <w:szCs w:val="14"/>
              </w:rPr>
              <w:t xml:space="preserve">: </w:t>
            </w:r>
            <w:r>
              <w:rPr>
                <w:rFonts w:ascii="Calibri" w:hAnsi="Calibri"/>
                <w:b/>
                <w:sz w:val="14"/>
                <w:szCs w:val="14"/>
                <w:lang w:val="en-US"/>
              </w:rPr>
              <w:t>engmtt</w:t>
            </w:r>
            <w:r>
              <w:rPr>
                <w:rFonts w:ascii="Calibri" w:hAnsi="Calibri"/>
                <w:b/>
                <w:sz w:val="14"/>
                <w:szCs w:val="14"/>
              </w:rPr>
              <w:t>@</w:t>
            </w:r>
            <w:r>
              <w:rPr>
                <w:rFonts w:ascii="Calibri" w:hAnsi="Calibri"/>
                <w:b/>
                <w:sz w:val="14"/>
                <w:szCs w:val="14"/>
                <w:lang w:val="en-US"/>
              </w:rPr>
              <w:t>mail</w:t>
            </w:r>
            <w:r>
              <w:rPr>
                <w:rFonts w:ascii="Calibri" w:hAnsi="Calibri"/>
                <w:b/>
                <w:sz w:val="14"/>
                <w:szCs w:val="14"/>
              </w:rPr>
              <w:t>.</w:t>
            </w:r>
            <w:r>
              <w:rPr>
                <w:rFonts w:ascii="Calibri" w:hAnsi="Calibri"/>
                <w:b/>
                <w:sz w:val="14"/>
                <w:szCs w:val="14"/>
                <w:lang w:val="en-US"/>
              </w:rPr>
              <w:t>ru</w:t>
            </w:r>
          </w:p>
          <w:tbl>
            <w:tblPr>
              <w:tblStyle w:val="3"/>
              <w:tblW w:w="0" w:type="auto"/>
              <w:jc w:val="center"/>
              <w:tblLayout w:type="fixed"/>
              <w:tblCellMar>
                <w:top w:w="0" w:type="dxa"/>
                <w:left w:w="108" w:type="dxa"/>
                <w:bottom w:w="0" w:type="dxa"/>
                <w:right w:w="108" w:type="dxa"/>
              </w:tblCellMar>
            </w:tblPr>
            <w:tblGrid>
              <w:gridCol w:w="728"/>
              <w:gridCol w:w="866"/>
              <w:gridCol w:w="728"/>
              <w:gridCol w:w="1489"/>
            </w:tblGrid>
            <w:tr w14:paraId="41A11579">
              <w:tblPrEx>
                <w:tblCellMar>
                  <w:top w:w="0" w:type="dxa"/>
                  <w:left w:w="108" w:type="dxa"/>
                  <w:bottom w:w="0" w:type="dxa"/>
                  <w:right w:w="108" w:type="dxa"/>
                </w:tblCellMar>
              </w:tblPrEx>
              <w:trPr>
                <w:trHeight w:val="42" w:hRule="atLeast"/>
                <w:jc w:val="center"/>
              </w:trPr>
              <w:tc>
                <w:tcPr>
                  <w:tcW w:w="1594" w:type="dxa"/>
                  <w:gridSpan w:val="2"/>
                  <w:tcBorders>
                    <w:top w:val="nil"/>
                    <w:left w:val="nil"/>
                    <w:bottom w:val="single" w:color="auto" w:sz="6" w:space="0"/>
                    <w:right w:val="nil"/>
                  </w:tcBorders>
                  <w:shd w:val="clear" w:color="auto" w:fill="BEFEBE"/>
                  <w:vAlign w:val="bottom"/>
                </w:tcPr>
                <w:p w14:paraId="21A59D17">
                  <w:pPr>
                    <w:spacing w:after="0"/>
                    <w:jc w:val="center"/>
                    <w:rPr>
                      <w:rFonts w:ascii="Book Antiqua" w:hAnsi="Book Antiqua"/>
                      <w:b/>
                      <w:i/>
                      <w:sz w:val="14"/>
                      <w:szCs w:val="14"/>
                    </w:rPr>
                  </w:pPr>
                </w:p>
              </w:tc>
              <w:tc>
                <w:tcPr>
                  <w:tcW w:w="728" w:type="dxa"/>
                  <w:shd w:val="clear" w:color="auto" w:fill="BEFEBE"/>
                  <w:vAlign w:val="bottom"/>
                </w:tcPr>
                <w:p w14:paraId="34D5BB3C">
                  <w:pPr>
                    <w:spacing w:after="0"/>
                    <w:jc w:val="center"/>
                    <w:rPr>
                      <w:rFonts w:ascii="Book Antiqua" w:hAnsi="Book Antiqua"/>
                      <w:b/>
                      <w:i/>
                      <w:sz w:val="14"/>
                      <w:szCs w:val="14"/>
                    </w:rPr>
                  </w:pPr>
                  <w:r>
                    <w:rPr>
                      <w:rFonts w:ascii="Book Antiqua" w:hAnsi="Book Antiqua"/>
                      <w:b/>
                      <w:i/>
                      <w:sz w:val="14"/>
                      <w:szCs w:val="14"/>
                    </w:rPr>
                    <w:t>№</w:t>
                  </w:r>
                </w:p>
              </w:tc>
              <w:tc>
                <w:tcPr>
                  <w:tcW w:w="1489" w:type="dxa"/>
                  <w:tcBorders>
                    <w:top w:val="nil"/>
                    <w:left w:val="nil"/>
                    <w:bottom w:val="single" w:color="auto" w:sz="6" w:space="0"/>
                    <w:right w:val="nil"/>
                  </w:tcBorders>
                  <w:shd w:val="clear" w:color="auto" w:fill="BEFEBE"/>
                  <w:vAlign w:val="bottom"/>
                </w:tcPr>
                <w:p w14:paraId="7BCC8862">
                  <w:pPr>
                    <w:spacing w:after="0"/>
                    <w:jc w:val="center"/>
                    <w:rPr>
                      <w:rFonts w:ascii="Book Antiqua" w:hAnsi="Book Antiqua"/>
                      <w:b/>
                      <w:i/>
                      <w:sz w:val="14"/>
                      <w:szCs w:val="14"/>
                      <w:lang w:val="en-US"/>
                    </w:rPr>
                  </w:pPr>
                </w:p>
              </w:tc>
            </w:tr>
            <w:tr w14:paraId="49216D10">
              <w:tblPrEx>
                <w:tblCellMar>
                  <w:top w:w="0" w:type="dxa"/>
                  <w:left w:w="108" w:type="dxa"/>
                  <w:bottom w:w="0" w:type="dxa"/>
                  <w:right w:w="108" w:type="dxa"/>
                </w:tblCellMar>
              </w:tblPrEx>
              <w:trPr>
                <w:trHeight w:val="46" w:hRule="atLeast"/>
                <w:jc w:val="center"/>
              </w:trPr>
              <w:tc>
                <w:tcPr>
                  <w:tcW w:w="728" w:type="dxa"/>
                  <w:tcBorders>
                    <w:top w:val="single" w:color="auto" w:sz="6" w:space="0"/>
                    <w:left w:val="nil"/>
                    <w:bottom w:val="nil"/>
                    <w:right w:val="nil"/>
                  </w:tcBorders>
                  <w:vAlign w:val="bottom"/>
                </w:tcPr>
                <w:p w14:paraId="3F0CAA92">
                  <w:pPr>
                    <w:spacing w:after="0"/>
                    <w:jc w:val="center"/>
                    <w:rPr>
                      <w:rFonts w:ascii="Book Antiqua" w:hAnsi="Book Antiqua"/>
                      <w:b/>
                      <w:i/>
                      <w:sz w:val="14"/>
                      <w:szCs w:val="14"/>
                    </w:rPr>
                  </w:pPr>
                  <w:r>
                    <w:rPr>
                      <w:rFonts w:ascii="Book Antiqua" w:hAnsi="Book Antiqua"/>
                      <w:b/>
                      <w:i/>
                      <w:sz w:val="14"/>
                      <w:szCs w:val="14"/>
                    </w:rPr>
                    <w:t>На №</w:t>
                  </w:r>
                </w:p>
              </w:tc>
              <w:tc>
                <w:tcPr>
                  <w:tcW w:w="866" w:type="dxa"/>
                  <w:tcBorders>
                    <w:top w:val="single" w:color="auto" w:sz="6" w:space="0"/>
                    <w:left w:val="nil"/>
                    <w:bottom w:val="single" w:color="auto" w:sz="6" w:space="0"/>
                    <w:right w:val="nil"/>
                  </w:tcBorders>
                  <w:vAlign w:val="bottom"/>
                </w:tcPr>
                <w:p w14:paraId="2C0A8D3F">
                  <w:pPr>
                    <w:spacing w:after="0"/>
                    <w:rPr>
                      <w:rFonts w:ascii="Book Antiqua" w:hAnsi="Book Antiqua"/>
                      <w:b/>
                      <w:i/>
                      <w:sz w:val="14"/>
                      <w:szCs w:val="14"/>
                    </w:rPr>
                  </w:pPr>
                </w:p>
              </w:tc>
              <w:tc>
                <w:tcPr>
                  <w:tcW w:w="728" w:type="dxa"/>
                  <w:vAlign w:val="bottom"/>
                </w:tcPr>
                <w:p w14:paraId="35C71C1B">
                  <w:pPr>
                    <w:spacing w:after="0"/>
                    <w:jc w:val="center"/>
                    <w:rPr>
                      <w:rFonts w:ascii="Book Antiqua" w:hAnsi="Book Antiqua"/>
                      <w:b/>
                      <w:i/>
                      <w:sz w:val="14"/>
                      <w:szCs w:val="14"/>
                    </w:rPr>
                  </w:pPr>
                  <w:r>
                    <w:rPr>
                      <w:rFonts w:ascii="Book Antiqua" w:hAnsi="Book Antiqua"/>
                      <w:b/>
                      <w:i/>
                      <w:sz w:val="14"/>
                      <w:szCs w:val="14"/>
                    </w:rPr>
                    <w:t>от</w:t>
                  </w:r>
                </w:p>
              </w:tc>
              <w:tc>
                <w:tcPr>
                  <w:tcW w:w="1489" w:type="dxa"/>
                  <w:tcBorders>
                    <w:top w:val="single" w:color="auto" w:sz="6" w:space="0"/>
                    <w:left w:val="nil"/>
                    <w:bottom w:val="single" w:color="auto" w:sz="6" w:space="0"/>
                    <w:right w:val="nil"/>
                  </w:tcBorders>
                  <w:vAlign w:val="bottom"/>
                </w:tcPr>
                <w:p w14:paraId="3BD1EC69">
                  <w:pPr>
                    <w:spacing w:after="0"/>
                    <w:jc w:val="center"/>
                    <w:rPr>
                      <w:rFonts w:ascii="Book Antiqua" w:hAnsi="Book Antiqua"/>
                      <w:b/>
                      <w:i/>
                      <w:sz w:val="14"/>
                      <w:szCs w:val="14"/>
                    </w:rPr>
                  </w:pPr>
                </w:p>
              </w:tc>
            </w:tr>
            <w:tr w14:paraId="6737A2B5">
              <w:tblPrEx>
                <w:tblCellMar>
                  <w:top w:w="0" w:type="dxa"/>
                  <w:left w:w="108" w:type="dxa"/>
                  <w:bottom w:w="0" w:type="dxa"/>
                  <w:right w:w="108" w:type="dxa"/>
                </w:tblCellMar>
              </w:tblPrEx>
              <w:trPr>
                <w:trHeight w:val="61" w:hRule="atLeast"/>
                <w:jc w:val="center"/>
              </w:trPr>
              <w:tc>
                <w:tcPr>
                  <w:tcW w:w="3811" w:type="dxa"/>
                  <w:gridSpan w:val="4"/>
                  <w:vAlign w:val="bottom"/>
                </w:tcPr>
                <w:p w14:paraId="33F65BF5">
                  <w:pPr>
                    <w:jc w:val="center"/>
                    <w:rPr>
                      <w:rFonts w:ascii="Book Antiqua" w:hAnsi="Book Antiqua"/>
                      <w:b/>
                      <w:i/>
                    </w:rPr>
                  </w:pPr>
                </w:p>
              </w:tc>
            </w:tr>
          </w:tbl>
          <w:p w14:paraId="177628B0">
            <w:pPr>
              <w:rPr>
                <w:b/>
                <w:sz w:val="28"/>
                <w:szCs w:val="28"/>
              </w:rPr>
            </w:pPr>
          </w:p>
        </w:tc>
      </w:tr>
    </w:tbl>
    <w:p w14:paraId="17178EA3">
      <w:pPr>
        <w:spacing w:after="0" w:line="240" w:lineRule="auto"/>
        <w:ind w:right="140"/>
        <w:jc w:val="right"/>
        <w:rPr>
          <w:rFonts w:hint="default" w:ascii="Times New Roman" w:hAnsi="Times New Roman"/>
          <w:sz w:val="28"/>
          <w:szCs w:val="28"/>
          <w:lang w:val="ru-RU"/>
        </w:rPr>
      </w:pPr>
      <w:r>
        <w:rPr>
          <w:rFonts w:ascii="Times New Roman" w:hAnsi="Times New Roman"/>
          <w:sz w:val="28"/>
          <w:szCs w:val="28"/>
          <w:lang w:val="ru-RU"/>
        </w:rPr>
        <w:t>Саратовская</w:t>
      </w:r>
      <w:r>
        <w:rPr>
          <w:rFonts w:hint="default" w:ascii="Times New Roman" w:hAnsi="Times New Roman"/>
          <w:sz w:val="28"/>
          <w:szCs w:val="28"/>
          <w:lang w:val="ru-RU"/>
        </w:rPr>
        <w:t xml:space="preserve"> область г. Энгельс ул. Л. Кассиля д. 16 кв. 203</w:t>
      </w:r>
    </w:p>
    <w:p w14:paraId="653FA59B">
      <w:pPr>
        <w:jc w:val="right"/>
      </w:pPr>
    </w:p>
    <w:p w14:paraId="529E56A1">
      <w:pPr>
        <w:jc w:val="right"/>
      </w:pPr>
      <w:r>
        <w:rPr>
          <w:rFonts w:ascii="Times New Roman" w:hAnsi="Times New Roman"/>
          <w:sz w:val="28"/>
          <w:szCs w:val="28"/>
          <w:lang w:val="ru-RU"/>
        </w:rPr>
        <w:t>Глуховой</w:t>
      </w:r>
      <w:r>
        <w:rPr>
          <w:rFonts w:hint="default" w:ascii="Times New Roman" w:hAnsi="Times New Roman"/>
          <w:sz w:val="28"/>
          <w:szCs w:val="28"/>
          <w:lang w:val="ru-RU"/>
        </w:rPr>
        <w:t xml:space="preserve"> Алёне Алексеевне</w:t>
      </w:r>
    </w:p>
    <w:p w14:paraId="109B4FC0"/>
    <w:p w14:paraId="3DAAF76F"/>
    <w:p w14:paraId="47C982A4"/>
    <w:p w14:paraId="7B807D97"/>
    <w:p w14:paraId="27059A13"/>
    <w:p w14:paraId="6EA715BE"/>
    <w:p w14:paraId="272DF54B"/>
    <w:p w14:paraId="49AC1355">
      <w:pPr>
        <w:ind w:firstLine="708" w:firstLineChars="0"/>
        <w:jc w:val="both"/>
        <w:rPr>
          <w:rFonts w:hint="default" w:ascii="Times New Roman" w:hAnsi="Times New Roman"/>
          <w:sz w:val="28"/>
          <w:szCs w:val="28"/>
          <w:lang w:val="ru-RU"/>
        </w:rPr>
      </w:pPr>
      <w:r>
        <w:rPr>
          <w:rFonts w:ascii="Times New Roman" w:hAnsi="Times New Roman"/>
          <w:sz w:val="28"/>
          <w:szCs w:val="28"/>
        </w:rPr>
        <w:t xml:space="preserve">Администрация ГАПОУ СО «Энгельсский механико - технологический </w:t>
      </w:r>
      <w:r>
        <w:rPr>
          <w:rFonts w:ascii="Times New Roman" w:hAnsi="Times New Roman"/>
          <w:sz w:val="28"/>
          <w:szCs w:val="28"/>
          <w:lang w:val="ru-RU"/>
        </w:rPr>
        <w:t>колледж</w:t>
      </w:r>
      <w:r>
        <w:rPr>
          <w:rFonts w:ascii="Times New Roman" w:hAnsi="Times New Roman"/>
          <w:sz w:val="28"/>
          <w:szCs w:val="28"/>
        </w:rPr>
        <w:t xml:space="preserve">» расположенный по адресу: Саратовская область, г.Энгельс, ул. Марины Расковой, д. 8А, </w:t>
      </w:r>
      <w:r>
        <w:rPr>
          <w:rFonts w:ascii="Times New Roman" w:hAnsi="Times New Roman"/>
          <w:sz w:val="28"/>
          <w:szCs w:val="28"/>
          <w:lang w:val="ru-RU"/>
        </w:rPr>
        <w:t>сообщает</w:t>
      </w:r>
      <w:r>
        <w:rPr>
          <w:rFonts w:hint="default" w:ascii="Times New Roman" w:hAnsi="Times New Roman"/>
          <w:sz w:val="28"/>
          <w:szCs w:val="28"/>
          <w:lang w:val="ru-RU"/>
        </w:rPr>
        <w:t xml:space="preserve"> Вам о зачислении на бюджет по специальности 22.02.08 Металлургическое производство (по видам деятельности) приказом 261 л/с от 30.10.2025 г. </w:t>
      </w:r>
    </w:p>
    <w:p w14:paraId="35BB0ED1">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 xml:space="preserve">С 31.10.2025 года необходимо согласно расписанию посещать занятия. </w:t>
      </w:r>
    </w:p>
    <w:p w14:paraId="2562EFBF">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Ссылка на расписание: https://disk.yandex.ru/d/EttDzlNy50EwIw</w:t>
      </w:r>
    </w:p>
    <w:p w14:paraId="1F7E4A58">
      <w:pPr>
        <w:ind w:firstLine="708" w:firstLineChars="0"/>
        <w:jc w:val="both"/>
        <w:rPr>
          <w:rFonts w:hint="default" w:ascii="Times New Roman" w:hAnsi="Times New Roman"/>
          <w:sz w:val="28"/>
          <w:szCs w:val="28"/>
          <w:lang w:val="ru-RU"/>
        </w:rPr>
      </w:pPr>
    </w:p>
    <w:p w14:paraId="7EDAC94D">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 xml:space="preserve">Директор ГАПОУ СО «ЭМТК» </w:t>
      </w:r>
      <w:r>
        <w:rPr>
          <w:rFonts w:hint="default" w:ascii="Times New Roman" w:hAnsi="Times New Roman"/>
          <w:sz w:val="28"/>
          <w:szCs w:val="28"/>
          <w:lang w:val="ru-RU"/>
        </w:rPr>
        <w:tab/>
      </w:r>
      <w:r>
        <w:rPr>
          <w:rFonts w:hint="default" w:ascii="Times New Roman" w:hAnsi="Times New Roman"/>
          <w:sz w:val="28"/>
          <w:szCs w:val="28"/>
          <w:lang w:val="ru-RU"/>
        </w:rPr>
        <w:tab/>
      </w:r>
      <w:r>
        <w:rPr>
          <w:rFonts w:hint="default" w:ascii="Times New Roman" w:hAnsi="Times New Roman"/>
          <w:sz w:val="28"/>
          <w:szCs w:val="28"/>
          <w:lang w:val="ru-RU"/>
        </w:rPr>
        <w:tab/>
      </w:r>
      <w:r>
        <w:rPr>
          <w:rFonts w:hint="default" w:ascii="Times New Roman" w:hAnsi="Times New Roman"/>
          <w:sz w:val="28"/>
          <w:szCs w:val="28"/>
          <w:lang w:val="ru-RU"/>
        </w:rPr>
        <w:t>О.И. Абрамов</w:t>
      </w:r>
    </w:p>
    <w:p w14:paraId="2EEB7B44">
      <w:pPr>
        <w:rPr>
          <w:rFonts w:hint="default" w:ascii="Times New Roman" w:hAnsi="Times New Roman"/>
          <w:sz w:val="28"/>
          <w:szCs w:val="28"/>
          <w:lang w:val="ru-RU"/>
        </w:rPr>
      </w:pPr>
      <w:r>
        <w:rPr>
          <w:rFonts w:hint="default" w:ascii="Times New Roman" w:hAnsi="Times New Roman"/>
          <w:sz w:val="28"/>
          <w:szCs w:val="28"/>
          <w:lang w:val="ru-RU"/>
        </w:rPr>
        <w:br w:type="page"/>
      </w:r>
    </w:p>
    <w:p w14:paraId="5C1BC575">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Глухова А.А. подала заявление 06 августа 2025 года через Единый портал государственных и муниципальных услуг (ЕПГУ) по специальности 38.02.03  Операционная деятельность в логистике и по профессии 15.01.38 Оператор - наладчик металлообрабатывающих станков для поступления в ГАПОУ СО «Энгельсский механико-технологический колледж» на 1 курс на очную форму обучения на бюджетной основе.</w:t>
      </w:r>
    </w:p>
    <w:p w14:paraId="6B6AB427">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Согласно Приказу Министерства просвещения РФ от 02 сентября 2020 г. № 457 Об утверждении порядка приёма на обучение по образовательным программам среднего профессионального образования до 15.08.2025 года необходимо было предоставить оригинал аттестата, для возможности зачислиться на очную форму обучения на бюджетной основе.</w:t>
      </w:r>
    </w:p>
    <w:p w14:paraId="20A90FD5">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Глухова А.А. при личном посещении уведомила ответственного секретаря приёмной комиссии, что её оригинал аттестата на момент зачисления находился в другом учебном заведении в г. Москве.</w:t>
      </w:r>
    </w:p>
    <w:p w14:paraId="2ABE69C5">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Алёне Алексеевне была выдана на руки расписка о недостающих документах в личном деле, где обозначены сроки предоставления оригинала аттестата. В данной расписке было зафиксировано отсутствие оригинала аттестата, а также оригинала медицинской справки, которая согласно Постановлению Правительства РФ от 14.08 2013 г. №697 Об утверждении перечня специальностей и направлений подготовки, при приёме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необходима при зачислении на профессию 15.01.38 Оператор - наладчик металлообрабатывающих станков.</w:t>
      </w:r>
    </w:p>
    <w:p w14:paraId="4797C8B9">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Из-за отсутствия оригинала аттестата в момент создания приказов о зачислении абитуриентов в число обучающихся в августе, заявления Глуховой А.А. в автоматизированная информационная система (АИС) «Зачисление в профессиональную образовательную организацию» (ПОО) были переведены в статус отказано.</w:t>
      </w:r>
    </w:p>
    <w:p w14:paraId="772D5B35">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В связи с наличием свободных мест в ГАПОУ СО «ЭМТК» был продлён приём документов для поступления на 1 курс до 25 ноября 2025 года (приказ № от ).</w:t>
      </w:r>
    </w:p>
    <w:p w14:paraId="3B84A4E2">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Глухова А.А. привезла оригинал аттестата 8 сентября 2025 г., что зафиксировано в описи личного дела абитуриента. Свободные места по профессии 15.01.38 Оператор - наладчик металлообрабатывающих станков ещё были, но оригинал медицинской справки необходимый для зачисления на данную профессию не был предоставлен и информацию о том где Алёна Алексеевна обучается в бумажном подтверждении, которое ранее было запрошено администрацией не предоставила.</w:t>
      </w:r>
    </w:p>
    <w:p w14:paraId="64DFED00">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При решении приёмной комиссией о зачислении абитуриентов в число обучающихся 11 сентября 2025 года были рассмотрены заявления абитуриентов. В личное дело абитуриента Глуховой А.А. так и не была предоставлена медицинская справка. Было принято решение вызвать Алёну Алексеевну на дополнительную беседу о возможностях её зачисления на первый курс ГАПОУ СО «ЭМТК».</w:t>
      </w:r>
    </w:p>
    <w:p w14:paraId="01216810">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На оставленный номер телефона в заявлении не смогли не однократно дозвонится. Второй номер телефона был нами получен через общающихся с Глуховой А.А. людей. Но на наше звонки данный абитуриент не ответил.</w:t>
      </w:r>
    </w:p>
    <w:p w14:paraId="06014E27">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Алёна Алексеевна самостоятельно позвонила в учебную часть ГАПОУ СО «ЭМТК» в конце сентября и при разговоре с секретарём учебной части была проинформирована о необходимости личного присутствия для разрешения ряда вопросов о зачислении. Но после этого опять не пришла и на последующие попытки до неё дозвонится не отвечала.</w:t>
      </w:r>
    </w:p>
    <w:p w14:paraId="5ABD6CE2">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14 октября 2025 г. администрацией ГАПОУ СО «ЭМТК» была получена информация о жалобе в Министерство образования Саратовской области от Глуховой А.А. После этого на неоднократный звонок на её номер телефона Алёна Алексеевна взяла трубку. При разговоре с Глуховой А.А. было согласовано с ней о возможности её прихода только 17 октября 2025 года, в связи с её нахождением на сессии в г. Москве. На просьбу привезти справку об обучении в другом учебном заведении было дано согласие.</w:t>
      </w:r>
    </w:p>
    <w:p w14:paraId="4D64E204">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17 октября 2025 года Алёне Алексеевне во время разговора с приемной комиссией было предложено зачислиться на бюджет на оставшиеся места с выходом на учёбу 20 октября 2025 г., но Глухова А.А. ушла так и не дав окончательный ответ.</w:t>
      </w:r>
    </w:p>
    <w:p w14:paraId="5B646ECD">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20 октября 2025 года не пришла, в связи с этим 21 октября 2025 года было составлено и отправлено абитуриенту Глуховой А.А. письмо с просьбой принять окончательной решение о зачислении, на электронную почту предоставленную ей в заявлениях и почтовым отправлением с уведомлением по адресу указанному в паспорте.</w:t>
      </w:r>
    </w:p>
    <w:p w14:paraId="0A36DB00">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28 октября письмо было продублировано на электронную почту. В очередной раз была предпринята попытка дозвониться , но разговор состоялся только с автоответчиком.</w:t>
      </w:r>
    </w:p>
    <w:p w14:paraId="76C94281">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29 октября 2025 года Глухова А.А. пришла с оригиналом медицинской справки для написания собственноручно заявления о зачислении на 1 курс. Во всех поданных заявлениях Глуховой А.А. было указано, что образование среднее профессиональное получает впервые. Справку об обучении в другом учебном заведении, так и не предоставила</w:t>
      </w:r>
      <w:bookmarkStart w:id="0" w:name="_GoBack"/>
      <w:bookmarkEnd w:id="0"/>
      <w:r>
        <w:rPr>
          <w:rFonts w:hint="default" w:ascii="Times New Roman" w:hAnsi="Times New Roman"/>
          <w:sz w:val="28"/>
          <w:szCs w:val="28"/>
          <w:lang w:val="ru-RU"/>
        </w:rPr>
        <w:t>.</w:t>
      </w:r>
    </w:p>
    <w:p w14:paraId="395167F8">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30 октября абитуриент Глухова А.А. была зачислена в число обучающихся ГАПОУ СО «ЭМТК» на очную форму обучения на бюджетной основе.</w:t>
      </w:r>
    </w:p>
    <w:p w14:paraId="1D903AA3">
      <w:pPr>
        <w:ind w:firstLine="708" w:firstLineChars="0"/>
        <w:jc w:val="both"/>
        <w:rPr>
          <w:rFonts w:hint="default" w:ascii="Times New Roman" w:hAnsi="Times New Roman"/>
          <w:sz w:val="28"/>
          <w:szCs w:val="28"/>
          <w:lang w:val="ru-RU"/>
        </w:rPr>
      </w:pPr>
      <w:r>
        <w:rPr>
          <w:rFonts w:hint="default" w:ascii="Times New Roman" w:hAnsi="Times New Roman"/>
          <w:sz w:val="28"/>
          <w:szCs w:val="28"/>
          <w:lang w:val="ru-RU"/>
        </w:rPr>
        <w:t>31 октября студента Глуховой А.А. не было на занятиях согласно расписанию. На вопрос классного руководителя почему не приступила к обучению был дан ответ, что ей некогда и она готовится к сессии, и в ближайшее время полетит в г. Москву как минимум до 9 ноября 2025 года .</w:t>
      </w:r>
    </w:p>
    <w:sectPr>
      <w:pgSz w:w="11906" w:h="16838"/>
      <w:pgMar w:top="1440" w:right="1800" w:bottom="1440" w:left="1800" w:header="720" w:footer="72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entury Gothic">
    <w:panose1 w:val="020B0502020202020204"/>
    <w:charset w:val="CC"/>
    <w:family w:val="swiss"/>
    <w:pitch w:val="default"/>
    <w:sig w:usb0="00000287" w:usb1="00000000" w:usb2="00000000" w:usb3="00000000" w:csb0="2000009F" w:csb1="DFD70000"/>
  </w:font>
  <w:font w:name="Book Antiqua">
    <w:panose1 w:val="02040602050305030304"/>
    <w:charset w:val="CC"/>
    <w:family w:val="roman"/>
    <w:pitch w:val="default"/>
    <w:sig w:usb0="00000287" w:usb1="000000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7974FB"/>
    <w:rsid w:val="120D7638"/>
    <w:rsid w:val="1F9266A2"/>
    <w:rsid w:val="27EB0894"/>
    <w:rsid w:val="379120AE"/>
    <w:rsid w:val="39870B71"/>
    <w:rsid w:val="42442829"/>
    <w:rsid w:val="4AAF0D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ru-RU" w:eastAsia="ru-RU"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character" w:styleId="4">
    <w:name w:val="Strong"/>
    <w:basedOn w:val="2"/>
    <w:qFormat/>
    <w:uiPriority w:val="0"/>
    <w:rPr>
      <w:b/>
      <w:bCs/>
    </w:rPr>
  </w:style>
  <w:style w:type="paragraph" w:styleId="5">
    <w:name w:val="Body Text Indent 2"/>
    <w:basedOn w:val="1"/>
    <w:qFormat/>
    <w:uiPriority w:val="0"/>
    <w:pPr>
      <w:spacing w:after="120" w:line="480" w:lineRule="auto"/>
      <w:ind w:left="283"/>
    </w:pPr>
    <w:rPr>
      <w:rFonts w:ascii="Calibri" w:hAnsi="Calibri" w:eastAsia="Calibri" w:cs="Times New Roman"/>
      <w:lang w:eastAsia="en-US"/>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8</TotalTime>
  <ScaleCrop>false</ScaleCrop>
  <LinksUpToDate>false</LinksUpToDate>
  <CharactersWithSpaces>0</CharactersWithSpaces>
  <Application>WPS Office_12.2.0.23131_F1E327BC-269C-435d-A152-05C5408002CA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2025-10-21T07:48:00Z</dcterms:created>
  <dc:creator>BUH4</dc:creator>
  <cp:lastModifiedBy>Учебная часть ЭМТТ</cp:lastModifiedBy>
  <cp:lastPrinted>2025-10-30T11:08:00Z</cp:lastPrinted>
  <dcterms:modified xsi:type="dcterms:W3CDTF">2025-10-30T14:58:14Z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1049-12.2.0.23131</vt:lpwstr>
  </property>
  <property fmtid="{D5CDD505-2E9C-101B-9397-08002B2CF9AE}" pid="3" name="ICV">
    <vt:lpwstr>5BF549BE3D934F278B27DEE1BB10A583_12</vt:lpwstr>
  </property>
</Properties>
</file>